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14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276"/>
        <w:gridCol w:w="1332"/>
        <w:gridCol w:w="1418"/>
        <w:gridCol w:w="1262"/>
        <w:gridCol w:w="516"/>
        <w:gridCol w:w="618"/>
        <w:gridCol w:w="1276"/>
        <w:gridCol w:w="1276"/>
        <w:gridCol w:w="632"/>
        <w:gridCol w:w="644"/>
        <w:gridCol w:w="141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639"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11624" w:type="dxa"/>
            <w:gridSpan w:val="11"/>
            <w:tcBorders>
              <w:left w:val="single" w:color="auto" w:sz="4" w:space="0"/>
            </w:tcBorders>
            <w:vAlign w:val="center"/>
          </w:tcPr>
          <w:p>
            <w:pPr>
              <w:ind w:firstLine="420" w:firstLineChars="150"/>
            </w:pPr>
            <w:r>
              <w:rPr>
                <w:rFonts w:hint="eastAsia" w:ascii="仿宋_GB2312" w:eastAsia="仿宋_GB2312"/>
                <w:sz w:val="28"/>
                <w:szCs w:val="28"/>
              </w:rPr>
              <w:t>张家港市国泰华荣化工新材料有限公司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2639" w:type="dxa"/>
            <w:gridSpan w:val="2"/>
            <w:vAlign w:val="center"/>
          </w:tcPr>
          <w:p>
            <w:pPr>
              <w:spacing w:line="400" w:lineRule="exact"/>
              <w:jc w:val="center"/>
              <w:rPr>
                <w:rFonts w:ascii="仿宋_GB2312" w:eastAsia="仿宋_GB2312"/>
                <w:b/>
                <w:szCs w:val="21"/>
              </w:rPr>
            </w:pPr>
            <w:r>
              <w:rPr>
                <w:rFonts w:hint="eastAsia" w:ascii="仿宋_GB2312" w:eastAsia="仿宋_GB2312"/>
                <w:b/>
                <w:szCs w:val="21"/>
              </w:rPr>
              <w:t>组织机构</w:t>
            </w:r>
          </w:p>
          <w:p>
            <w:pPr>
              <w:spacing w:line="400" w:lineRule="exact"/>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4528" w:type="dxa"/>
            <w:gridSpan w:val="4"/>
            <w:vAlign w:val="center"/>
          </w:tcPr>
          <w:p>
            <w:pPr>
              <w:jc w:val="center"/>
              <w:rPr>
                <w:rFonts w:ascii="仿宋_GB2312" w:eastAsia="仿宋_GB2312"/>
                <w:szCs w:val="21"/>
              </w:rPr>
            </w:pPr>
            <w:r>
              <w:rPr>
                <w:rFonts w:ascii="仿宋_GB2312" w:eastAsia="仿宋_GB2312"/>
                <w:szCs w:val="21"/>
              </w:rPr>
              <w:t>91320592718542773P</w:t>
            </w:r>
          </w:p>
        </w:tc>
        <w:tc>
          <w:tcPr>
            <w:tcW w:w="1894" w:type="dxa"/>
            <w:gridSpan w:val="2"/>
            <w:vAlign w:val="center"/>
          </w:tcPr>
          <w:p>
            <w:pPr>
              <w:spacing w:line="400" w:lineRule="exact"/>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spacing w:line="400" w:lineRule="exact"/>
              <w:jc w:val="center"/>
              <w:rPr>
                <w:rFonts w:ascii="仿宋_GB2312" w:eastAsia="仿宋_GB2312"/>
                <w:b/>
                <w:szCs w:val="21"/>
              </w:rPr>
            </w:pPr>
            <w:r>
              <w:rPr>
                <w:rFonts w:hint="eastAsia" w:ascii="仿宋_GB2312" w:eastAsia="仿宋_GB2312"/>
                <w:b/>
                <w:szCs w:val="21"/>
              </w:rPr>
              <w:t>代表人</w:t>
            </w:r>
          </w:p>
        </w:tc>
        <w:tc>
          <w:tcPr>
            <w:tcW w:w="1276" w:type="dxa"/>
            <w:tcBorders>
              <w:right w:val="single" w:color="auto" w:sz="4" w:space="0"/>
            </w:tcBorders>
            <w:vAlign w:val="center"/>
          </w:tcPr>
          <w:p>
            <w:pPr>
              <w:jc w:val="center"/>
              <w:rPr>
                <w:rFonts w:ascii="仿宋_GB2312" w:eastAsia="仿宋_GB2312"/>
                <w:szCs w:val="21"/>
              </w:rPr>
            </w:pPr>
            <w:r>
              <w:rPr>
                <w:rFonts w:hint="eastAsia" w:ascii="仿宋_GB2312" w:eastAsia="仿宋_GB2312"/>
                <w:szCs w:val="21"/>
              </w:rPr>
              <w:t>王一明</w:t>
            </w:r>
          </w:p>
        </w:tc>
        <w:tc>
          <w:tcPr>
            <w:tcW w:w="1276" w:type="dxa"/>
            <w:gridSpan w:val="2"/>
            <w:tcBorders>
              <w:left w:val="single" w:color="auto" w:sz="4" w:space="0"/>
              <w:right w:val="single" w:color="auto" w:sz="4" w:space="0"/>
            </w:tcBorders>
            <w:vAlign w:val="center"/>
          </w:tcPr>
          <w:p>
            <w:pPr>
              <w:spacing w:line="400" w:lineRule="exact"/>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spacing w:line="400" w:lineRule="exact"/>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650" w:type="dxa"/>
            <w:gridSpan w:val="2"/>
            <w:tcBorders>
              <w:left w:val="single" w:color="auto" w:sz="4" w:space="0"/>
            </w:tcBorders>
            <w:vAlign w:val="center"/>
          </w:tcPr>
          <w:p>
            <w:pPr>
              <w:jc w:val="center"/>
              <w:rPr>
                <w:rFonts w:ascii="仿宋_GB2312" w:eastAsia="仿宋_GB2312"/>
                <w:szCs w:val="21"/>
              </w:rPr>
            </w:pPr>
            <w:r>
              <w:rPr>
                <w:rFonts w:hint="eastAsia" w:ascii="仿宋_GB2312" w:eastAsia="仿宋_GB2312"/>
                <w:szCs w:val="21"/>
              </w:rPr>
              <w:t>56357801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2639"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11624" w:type="dxa"/>
            <w:gridSpan w:val="11"/>
            <w:vAlign w:val="center"/>
          </w:tcPr>
          <w:p>
            <w:pPr>
              <w:ind w:firstLine="420" w:firstLineChars="150"/>
              <w:rPr>
                <w:rFonts w:ascii="仿宋_GB2312" w:eastAsia="仿宋_GB2312"/>
                <w:sz w:val="28"/>
                <w:szCs w:val="28"/>
              </w:rPr>
            </w:pPr>
            <w:r>
              <w:rPr>
                <w:rFonts w:hint="eastAsia" w:ascii="仿宋_GB2312" w:eastAsia="仿宋_GB2312"/>
                <w:sz w:val="28"/>
                <w:szCs w:val="28"/>
              </w:rPr>
              <w:t>张家港市扬子江国际化学工业园南海路9号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2639" w:type="dxa"/>
            <w:gridSpan w:val="2"/>
            <w:vAlign w:val="center"/>
          </w:tcPr>
          <w:p>
            <w:pPr>
              <w:spacing w:line="400" w:lineRule="exact"/>
              <w:jc w:val="center"/>
              <w:rPr>
                <w:rFonts w:ascii="仿宋_GB2312" w:eastAsia="仿宋_GB2312"/>
                <w:b/>
                <w:sz w:val="28"/>
                <w:szCs w:val="28"/>
              </w:rPr>
            </w:pPr>
            <w:r>
              <w:rPr>
                <w:rFonts w:hint="eastAsia" w:ascii="仿宋_GB2312" w:eastAsia="仿宋_GB2312"/>
                <w:b/>
                <w:szCs w:val="21"/>
              </w:rPr>
              <w:t>生产经营和管理服务的主要内容</w:t>
            </w:r>
          </w:p>
        </w:tc>
        <w:tc>
          <w:tcPr>
            <w:tcW w:w="11624" w:type="dxa"/>
            <w:gridSpan w:val="11"/>
            <w:vAlign w:val="center"/>
          </w:tcPr>
          <w:p>
            <w:pPr>
              <w:ind w:firstLine="420" w:firstLineChars="150"/>
              <w:rPr>
                <w:rFonts w:ascii="仿宋_GB2312" w:eastAsia="仿宋_GB2312"/>
                <w:sz w:val="28"/>
                <w:szCs w:val="28"/>
              </w:rPr>
            </w:pPr>
            <w:r>
              <w:rPr>
                <w:rFonts w:hint="eastAsia" w:ascii="仿宋_GB2312" w:eastAsia="仿宋_GB2312"/>
                <w:sz w:val="28"/>
                <w:szCs w:val="28"/>
              </w:rPr>
              <w:t>硅烷偶联剂和锂离子电池电解液的生产和销售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639"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11624" w:type="dxa"/>
            <w:gridSpan w:val="11"/>
            <w:tcBorders>
              <w:left w:val="single" w:color="auto" w:sz="4" w:space="0"/>
            </w:tcBorders>
            <w:vAlign w:val="center"/>
          </w:tcPr>
          <w:p>
            <w:pPr>
              <w:ind w:firstLine="420" w:firstLineChars="150"/>
              <w:rPr>
                <w:rFonts w:ascii="仿宋_GB2312" w:eastAsia="仿宋_GB2312"/>
                <w:sz w:val="28"/>
                <w:szCs w:val="28"/>
              </w:rPr>
            </w:pPr>
            <w:r>
              <w:rPr>
                <w:rFonts w:hint="eastAsia" w:ascii="仿宋_GB2312" w:eastAsia="仿宋_GB2312"/>
                <w:sz w:val="28"/>
                <w:szCs w:val="28"/>
              </w:rPr>
              <w:t>硅烷偶联剂：5000吨/年，锂离子电池电解液：3000</w:t>
            </w:r>
            <w:r>
              <w:rPr>
                <w:rFonts w:hint="eastAsia" w:ascii="仿宋_GB2312" w:eastAsia="仿宋_GB2312"/>
                <w:sz w:val="28"/>
                <w:szCs w:val="28"/>
                <w:lang w:val="en-US" w:eastAsia="zh-CN"/>
              </w:rPr>
              <w:t>0</w:t>
            </w:r>
            <w:r>
              <w:rPr>
                <w:rFonts w:hint="eastAsia" w:ascii="仿宋_GB2312" w:eastAsia="仿宋_GB2312"/>
                <w:sz w:val="28"/>
                <w:szCs w:val="28"/>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263" w:type="dxa"/>
            <w:gridSpan w:val="13"/>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263" w:type="dxa"/>
            <w:gridSpan w:val="13"/>
            <w:vAlign w:val="center"/>
          </w:tcPr>
          <w:p>
            <w:pPr>
              <w:ind w:left="108"/>
              <w:jc w:val="center"/>
              <w:rPr>
                <w:rFonts w:ascii="仿宋_GB2312" w:eastAsia="仿宋_GB2312"/>
                <w:b/>
                <w:szCs w:val="21"/>
              </w:rPr>
            </w:pPr>
            <w:r>
              <w:rPr>
                <w:rFonts w:hint="eastAsia" w:ascii="仿宋_GB2312" w:eastAsia="仿宋_GB2312"/>
                <w:b/>
                <w:szCs w:val="21"/>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排放口编号</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排放方式</w:t>
            </w:r>
          </w:p>
        </w:tc>
        <w:tc>
          <w:tcPr>
            <w:tcW w:w="133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监测方式</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主要污染物</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排放浓度标准（</w:t>
            </w:r>
            <w:r>
              <w:rPr>
                <w:b/>
                <w:sz w:val="24"/>
              </w:rPr>
              <w:t>mg/</w:t>
            </w:r>
            <w:r>
              <w:rPr>
                <w:rFonts w:hint="eastAsia"/>
                <w:b/>
                <w:sz w:val="24"/>
              </w:rPr>
              <w:t>L</w:t>
            </w:r>
            <w:r>
              <w:rPr>
                <w:rFonts w:hint="eastAsia" w:ascii="仿宋_GB2312" w:eastAsia="仿宋_GB2312"/>
                <w:b/>
                <w:szCs w:val="21"/>
              </w:rPr>
              <w:t>）</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执行标准</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排放监测值（</w:t>
            </w:r>
            <w:r>
              <w:rPr>
                <w:b/>
                <w:sz w:val="24"/>
              </w:rPr>
              <w:t>mg/</w:t>
            </w:r>
            <w:r>
              <w:rPr>
                <w:rFonts w:hint="eastAsia"/>
                <w:b/>
                <w:sz w:val="24"/>
              </w:rPr>
              <w:t>L</w:t>
            </w:r>
            <w:r>
              <w:rPr>
                <w:rFonts w:hint="eastAsia" w:ascii="仿宋_GB2312" w:eastAsia="仿宋_GB2312"/>
                <w:b/>
                <w:szCs w:val="21"/>
              </w:rPr>
              <w:t>）</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1417" w:type="dxa"/>
            <w:vAlign w:val="center"/>
          </w:tcPr>
          <w:p>
            <w:pPr>
              <w:spacing w:line="360" w:lineRule="exact"/>
              <w:jc w:val="center"/>
              <w:rPr>
                <w:rFonts w:ascii="仿宋_GB2312" w:eastAsia="仿宋_GB2312"/>
                <w:b/>
                <w:szCs w:val="21"/>
              </w:rPr>
            </w:pPr>
            <w:r>
              <w:rPr>
                <w:rFonts w:hint="eastAsia" w:ascii="仿宋_GB2312" w:eastAsia="仿宋_GB2312"/>
                <w:b/>
                <w:szCs w:val="21"/>
              </w:rPr>
              <w:t>核定的</w:t>
            </w:r>
          </w:p>
          <w:p>
            <w:pPr>
              <w:spacing w:line="360" w:lineRule="exact"/>
              <w:jc w:val="center"/>
              <w:rPr>
                <w:rFonts w:ascii="仿宋_GB2312" w:eastAsia="仿宋_GB2312"/>
                <w:b/>
                <w:szCs w:val="21"/>
              </w:rPr>
            </w:pPr>
            <w:r>
              <w:rPr>
                <w:rFonts w:hint="eastAsia" w:ascii="仿宋_GB2312" w:eastAsia="仿宋_GB2312"/>
                <w:b/>
                <w:szCs w:val="21"/>
              </w:rPr>
              <w:t>排放总量</w:t>
            </w:r>
          </w:p>
          <w:p>
            <w:pPr>
              <w:spacing w:line="360" w:lineRule="exact"/>
              <w:ind w:left="108"/>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1233"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DW001</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接管</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PH值</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6-9</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胜科水务接管标准</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7.93</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233" w:type="dxa"/>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化学需氧量</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500</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lang w:val="en-US" w:eastAsia="zh-CN"/>
              </w:rPr>
              <w:t>7</w:t>
            </w:r>
            <w:r>
              <w:rPr>
                <w:rFonts w:hint="eastAsia" w:ascii="仿宋_GB2312" w:eastAsia="仿宋_GB2312"/>
                <w:b/>
                <w:szCs w:val="21"/>
              </w:rPr>
              <w:t>5</w:t>
            </w:r>
          </w:p>
        </w:tc>
        <w:tc>
          <w:tcPr>
            <w:tcW w:w="1276"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75</w:t>
            </w:r>
          </w:p>
        </w:tc>
        <w:tc>
          <w:tcPr>
            <w:tcW w:w="1417"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5338.7</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氨氮</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25</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1.56</w:t>
            </w:r>
          </w:p>
        </w:tc>
        <w:tc>
          <w:tcPr>
            <w:tcW w:w="1276"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178</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282</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总磷</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0.62</w:t>
            </w:r>
          </w:p>
        </w:tc>
        <w:tc>
          <w:tcPr>
            <w:tcW w:w="1276"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16.2</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19.4</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悬浮物</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250</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35</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lang w:val="en-US" w:eastAsia="zh-CN"/>
              </w:rPr>
              <w:t>256</w:t>
            </w:r>
            <w:r>
              <w:rPr>
                <w:rFonts w:hint="eastAsia" w:ascii="仿宋_GB2312" w:eastAsia="仿宋_GB2312"/>
                <w:b/>
                <w:szCs w:val="21"/>
              </w:rPr>
              <w:t>.5</w:t>
            </w:r>
          </w:p>
        </w:tc>
        <w:tc>
          <w:tcPr>
            <w:tcW w:w="1417"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3</w:t>
            </w:r>
            <w:r>
              <w:rPr>
                <w:rFonts w:hint="eastAsia" w:ascii="仿宋_GB2312" w:eastAsia="仿宋_GB2312"/>
                <w:b/>
                <w:szCs w:val="21"/>
              </w:rPr>
              <w:t>2</w:t>
            </w:r>
            <w:r>
              <w:rPr>
                <w:rFonts w:hint="eastAsia" w:ascii="仿宋_GB2312" w:eastAsia="仿宋_GB2312"/>
                <w:b/>
                <w:szCs w:val="21"/>
                <w:lang w:val="en-US" w:eastAsia="zh-CN"/>
              </w:rPr>
              <w:t>34.8</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排放口编号</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处理方式</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监测方式</w:t>
            </w:r>
          </w:p>
        </w:tc>
        <w:tc>
          <w:tcPr>
            <w:tcW w:w="1418"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主要污染物</w:t>
            </w:r>
          </w:p>
        </w:tc>
        <w:tc>
          <w:tcPr>
            <w:tcW w:w="126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排放浓度限值（</w:t>
            </w:r>
            <w:r>
              <w:rPr>
                <w:b/>
                <w:sz w:val="24"/>
              </w:rPr>
              <w:t>mg/</w:t>
            </w:r>
            <w:r>
              <w:rPr>
                <w:rFonts w:hint="eastAsia"/>
                <w:b/>
                <w:sz w:val="24"/>
              </w:rPr>
              <w:t>L</w:t>
            </w:r>
            <w:r>
              <w:rPr>
                <w:rFonts w:hint="eastAsia" w:ascii="仿宋_GB2312" w:eastAsia="仿宋_GB2312"/>
                <w:b/>
                <w:szCs w:val="21"/>
              </w:rPr>
              <w:t>）</w:t>
            </w:r>
          </w:p>
        </w:tc>
        <w:tc>
          <w:tcPr>
            <w:tcW w:w="1134" w:type="dxa"/>
            <w:gridSpan w:val="2"/>
            <w:vMerge w:val="restart"/>
            <w:vAlign w:val="center"/>
          </w:tcPr>
          <w:p>
            <w:pPr>
              <w:spacing w:line="360" w:lineRule="exact"/>
              <w:ind w:left="108"/>
              <w:jc w:val="center"/>
              <w:rPr>
                <w:rFonts w:ascii="仿宋_GB2312" w:eastAsia="仿宋_GB2312"/>
                <w:b/>
                <w:szCs w:val="21"/>
              </w:rPr>
            </w:pPr>
            <w:r>
              <w:rPr>
                <w:rFonts w:ascii="仿宋_GB2312" w:eastAsia="仿宋_GB2312"/>
                <w:b/>
                <w:szCs w:val="21"/>
              </w:rPr>
              <w:t>排放速率限值</w:t>
            </w:r>
            <w:r>
              <w:rPr>
                <w:rFonts w:hint="eastAsia" w:ascii="仿宋_GB2312" w:eastAsia="仿宋_GB2312"/>
                <w:b/>
                <w:szCs w:val="21"/>
              </w:rPr>
              <w:t>（kg/h）</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执行标准</w:t>
            </w:r>
          </w:p>
        </w:tc>
        <w:tc>
          <w:tcPr>
            <w:tcW w:w="3969"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排放值</w:t>
            </w:r>
          </w:p>
        </w:tc>
        <w:tc>
          <w:tcPr>
            <w:tcW w:w="1233"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Merge w:val="continue"/>
            <w:vAlign w:val="center"/>
          </w:tcPr>
          <w:p>
            <w:pPr>
              <w:spacing w:line="360" w:lineRule="exact"/>
              <w:ind w:left="108"/>
              <w:jc w:val="center"/>
              <w:rPr>
                <w:rFonts w:ascii="仿宋_GB2312" w:eastAsia="仿宋_GB2312"/>
                <w:b/>
                <w:szCs w:val="21"/>
              </w:rPr>
            </w:pPr>
          </w:p>
        </w:tc>
        <w:tc>
          <w:tcPr>
            <w:tcW w:w="1262" w:type="dxa"/>
            <w:vMerge w:val="continue"/>
            <w:vAlign w:val="center"/>
          </w:tcPr>
          <w:p>
            <w:pPr>
              <w:spacing w:line="360" w:lineRule="exact"/>
              <w:ind w:left="108"/>
              <w:jc w:val="center"/>
              <w:rPr>
                <w:rFonts w:ascii="仿宋_GB2312" w:eastAsia="仿宋_GB2312"/>
                <w:b/>
                <w:szCs w:val="21"/>
              </w:rPr>
            </w:pPr>
          </w:p>
        </w:tc>
        <w:tc>
          <w:tcPr>
            <w:tcW w:w="1134" w:type="dxa"/>
            <w:gridSpan w:val="2"/>
            <w:vMerge w:val="continue"/>
            <w:vAlign w:val="center"/>
          </w:tcPr>
          <w:p>
            <w:pPr>
              <w:spacing w:line="360" w:lineRule="exact"/>
              <w:ind w:left="108"/>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w:t>
            </w:r>
            <w:r>
              <w:rPr>
                <w:b/>
                <w:sz w:val="24"/>
              </w:rPr>
              <w:t>mg/</w:t>
            </w:r>
            <w:r>
              <w:rPr>
                <w:rFonts w:hint="eastAsia"/>
                <w:b/>
                <w:sz w:val="24"/>
              </w:rPr>
              <w:t>L</w:t>
            </w:r>
            <w:r>
              <w:rPr>
                <w:rFonts w:hint="eastAsia" w:ascii="仿宋_GB2312" w:eastAsia="仿宋_GB2312"/>
                <w:b/>
                <w:szCs w:val="21"/>
              </w:rPr>
              <w:t>）</w:t>
            </w:r>
          </w:p>
        </w:tc>
        <w:tc>
          <w:tcPr>
            <w:tcW w:w="2061"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排放速率</w:t>
            </w:r>
            <w:r>
              <w:rPr>
                <w:rFonts w:hint="eastAsia" w:ascii="仿宋_GB2312" w:eastAsia="仿宋_GB2312"/>
                <w:b/>
                <w:szCs w:val="21"/>
              </w:rPr>
              <w:t>（kg/h）</w:t>
            </w:r>
          </w:p>
        </w:tc>
        <w:tc>
          <w:tcPr>
            <w:tcW w:w="1233" w:type="dxa"/>
            <w:vMerge w:val="continue"/>
            <w:vAlign w:val="center"/>
          </w:tcPr>
          <w:p>
            <w:pPr>
              <w:spacing w:line="360" w:lineRule="exact"/>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DA001</w:t>
            </w:r>
          </w:p>
          <w:p>
            <w:pPr>
              <w:spacing w:line="360" w:lineRule="exact"/>
              <w:jc w:val="center"/>
              <w:rPr>
                <w:rFonts w:ascii="仿宋_GB2312" w:eastAsia="仿宋_GB2312"/>
                <w:b/>
                <w:szCs w:val="21"/>
              </w:rPr>
            </w:pPr>
            <w:r>
              <w:rPr>
                <w:rFonts w:hint="eastAsia" w:ascii="仿宋_GB2312" w:eastAsia="仿宋_GB2312"/>
                <w:b/>
                <w:szCs w:val="21"/>
              </w:rPr>
              <w:t>（水处理）</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碱吸收+光氧催化+活性炭</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14</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江苏省地方标准《化学工业挥发性有机物排放标准》（</w:t>
            </w:r>
            <w:r>
              <w:rPr>
                <w:rFonts w:ascii="仿宋_GB2312" w:eastAsia="仿宋_GB2312"/>
                <w:b/>
                <w:szCs w:val="21"/>
              </w:rPr>
              <w:t>DB32/3151-2016</w:t>
            </w:r>
            <w:r>
              <w:rPr>
                <w:rFonts w:hint="eastAsia" w:ascii="仿宋_GB2312" w:eastAsia="仿宋_GB2312"/>
                <w:b/>
                <w:szCs w:val="21"/>
              </w:rPr>
              <w:t>）表</w:t>
            </w:r>
            <w:r>
              <w:rPr>
                <w:rFonts w:ascii="仿宋_GB2312" w:eastAsia="仿宋_GB2312"/>
                <w:b/>
                <w:szCs w:val="21"/>
              </w:rPr>
              <w:t>1</w:t>
            </w:r>
            <w:r>
              <w:rPr>
                <w:rFonts w:hint="eastAsia" w:ascii="仿宋_GB2312" w:eastAsia="仿宋_GB2312"/>
                <w:b/>
                <w:szCs w:val="21"/>
              </w:rPr>
              <w:t>、《恶臭污染物排放标准》（GB14554-93）表</w:t>
            </w:r>
            <w:r>
              <w:rPr>
                <w:rFonts w:ascii="仿宋_GB2312" w:eastAsia="仿宋_GB2312"/>
                <w:b/>
                <w:szCs w:val="21"/>
              </w:rPr>
              <w:t>2</w:t>
            </w:r>
            <w:r>
              <w:rPr>
                <w:rFonts w:hint="eastAsia" w:ascii="仿宋_GB2312" w:eastAsia="仿宋_GB2312"/>
                <w:b/>
                <w:szCs w:val="21"/>
              </w:rPr>
              <w:t>标准</w:t>
            </w: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0.91</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5.07*10</w:t>
            </w:r>
            <w:r>
              <w:rPr>
                <w:rFonts w:hint="eastAsia" w:ascii="仿宋_GB2312" w:eastAsia="仿宋_GB2312"/>
                <w:b/>
                <w:szCs w:val="21"/>
                <w:vertAlign w:val="superscript"/>
              </w:rPr>
              <w:t>-3</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硫化氢</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0.9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lang w:val="en-US" w:eastAsia="zh-CN"/>
              </w:rPr>
              <w:t>2.19</w:t>
            </w:r>
          </w:p>
        </w:tc>
        <w:tc>
          <w:tcPr>
            <w:tcW w:w="2061"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lang w:val="en-US" w:eastAsia="zh-CN"/>
              </w:rPr>
              <w:t>0.003</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80</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26</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17.8</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9.67*10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DA002</w:t>
            </w:r>
          </w:p>
          <w:p>
            <w:pPr>
              <w:spacing w:line="360" w:lineRule="exact"/>
              <w:jc w:val="center"/>
              <w:rPr>
                <w:rFonts w:ascii="仿宋_GB2312" w:eastAsia="仿宋_GB2312"/>
                <w:b/>
                <w:szCs w:val="21"/>
              </w:rPr>
            </w:pPr>
            <w:r>
              <w:rPr>
                <w:rFonts w:hint="eastAsia" w:ascii="仿宋_GB2312" w:eastAsia="仿宋_GB2312"/>
                <w:b/>
                <w:szCs w:val="21"/>
              </w:rPr>
              <w:t>（有机硅车间北侧）</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三级水吸收+二级磷酸吸收</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20</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1.48*10</w:t>
            </w:r>
            <w:r>
              <w:rPr>
                <w:rFonts w:hint="eastAsia" w:ascii="仿宋_GB2312" w:eastAsia="仿宋_GB2312"/>
                <w:b/>
                <w:szCs w:val="21"/>
                <w:vertAlign w:val="superscript"/>
              </w:rPr>
              <w:t>-3</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80</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7.38</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1.09*10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DA003</w:t>
            </w:r>
          </w:p>
          <w:p>
            <w:pPr>
              <w:spacing w:line="360" w:lineRule="exact"/>
              <w:jc w:val="center"/>
              <w:rPr>
                <w:rFonts w:ascii="仿宋_GB2312" w:eastAsia="仿宋_GB2312"/>
                <w:b/>
                <w:szCs w:val="21"/>
              </w:rPr>
            </w:pPr>
            <w:r>
              <w:rPr>
                <w:rFonts w:hint="eastAsia" w:ascii="仿宋_GB2312" w:eastAsia="仿宋_GB2312"/>
                <w:b/>
                <w:szCs w:val="21"/>
              </w:rPr>
              <w:t>（电解液车间）</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催化燃烧</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ascii="仿宋_GB2312" w:eastAsia="仿宋_GB2312"/>
                <w:b/>
                <w:szCs w:val="21"/>
              </w:rPr>
              <w:t>甲醇</w:t>
            </w:r>
          </w:p>
        </w:tc>
        <w:tc>
          <w:tcPr>
            <w:tcW w:w="1262" w:type="dxa"/>
            <w:vAlign w:val="center"/>
          </w:tcPr>
          <w:p>
            <w:pPr>
              <w:spacing w:line="360" w:lineRule="exact"/>
              <w:jc w:val="center"/>
              <w:rPr>
                <w:rFonts w:ascii="仿宋_GB2312" w:eastAsia="仿宋_GB2312"/>
                <w:b/>
                <w:szCs w:val="21"/>
              </w:rPr>
            </w:pPr>
            <w:r>
              <w:rPr>
                <w:rFonts w:hint="eastAsia"/>
                <w:b/>
                <w:sz w:val="24"/>
              </w:rPr>
              <w:t>60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16.64</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leftChars="0"/>
              <w:jc w:val="center"/>
              <w:rPr>
                <w:rFonts w:ascii="仿宋_GB2312" w:eastAsia="仿宋_GB2312"/>
                <w:b/>
                <w:szCs w:val="21"/>
              </w:rPr>
            </w:pPr>
            <w:r>
              <w:rPr>
                <w:rFonts w:hint="eastAsia" w:ascii="仿宋_GB2312" w:eastAsia="仿宋_GB2312"/>
                <w:b/>
                <w:szCs w:val="21"/>
              </w:rPr>
              <w:t>ND</w:t>
            </w:r>
          </w:p>
        </w:tc>
        <w:tc>
          <w:tcPr>
            <w:tcW w:w="2061" w:type="dxa"/>
            <w:gridSpan w:val="2"/>
            <w:vAlign w:val="center"/>
          </w:tcPr>
          <w:p>
            <w:pPr>
              <w:spacing w:line="360" w:lineRule="exact"/>
              <w:ind w:left="108" w:leftChars="0"/>
              <w:jc w:val="center"/>
              <w:rPr>
                <w:rFonts w:ascii="仿宋_GB2312" w:eastAsia="仿宋_GB2312"/>
                <w:b/>
                <w:szCs w:val="21"/>
              </w:rPr>
            </w:pPr>
            <w:r>
              <w:rPr>
                <w:rFonts w:hint="eastAsia" w:ascii="仿宋_GB2312" w:eastAsia="仿宋_GB2312"/>
                <w:b/>
                <w:szCs w:val="21"/>
              </w:rPr>
              <w:t>-</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jc w:val="center"/>
              <w:rPr>
                <w:rFonts w:ascii="仿宋_GB2312" w:eastAsia="仿宋_GB2312"/>
                <w:b/>
                <w:szCs w:val="21"/>
              </w:rPr>
            </w:pPr>
            <w:r>
              <w:rPr>
                <w:rFonts w:hint="eastAsia"/>
                <w:b/>
                <w:sz w:val="24"/>
              </w:rPr>
              <w:t>80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33.2</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leftChars="0"/>
              <w:jc w:val="center"/>
              <w:rPr>
                <w:rFonts w:ascii="仿宋_GB2312" w:eastAsia="仿宋_GB2312"/>
                <w:b/>
                <w:szCs w:val="21"/>
              </w:rPr>
            </w:pPr>
            <w:r>
              <w:rPr>
                <w:rFonts w:hint="eastAsia" w:ascii="仿宋_GB2312" w:eastAsia="仿宋_GB2312"/>
                <w:b/>
                <w:szCs w:val="21"/>
                <w:lang w:val="en-US" w:eastAsia="zh-CN"/>
              </w:rPr>
              <w:t>1</w:t>
            </w:r>
            <w:r>
              <w:rPr>
                <w:rFonts w:hint="eastAsia" w:ascii="仿宋_GB2312" w:eastAsia="仿宋_GB2312"/>
                <w:b/>
                <w:szCs w:val="21"/>
              </w:rPr>
              <w:t>9</w:t>
            </w:r>
          </w:p>
        </w:tc>
        <w:tc>
          <w:tcPr>
            <w:tcW w:w="2061" w:type="dxa"/>
            <w:gridSpan w:val="2"/>
            <w:vAlign w:val="center"/>
          </w:tcPr>
          <w:p>
            <w:pPr>
              <w:spacing w:line="360" w:lineRule="exact"/>
              <w:ind w:left="108" w:leftChars="0"/>
              <w:jc w:val="center"/>
              <w:rPr>
                <w:rFonts w:ascii="仿宋_GB2312" w:eastAsia="仿宋_GB2312"/>
                <w:b/>
                <w:szCs w:val="21"/>
              </w:rPr>
            </w:pPr>
            <w:r>
              <w:rPr>
                <w:rFonts w:hint="eastAsia" w:ascii="仿宋_GB2312" w:eastAsia="仿宋_GB2312"/>
                <w:b/>
                <w:szCs w:val="21"/>
                <w:lang w:val="en-US" w:eastAsia="zh-CN"/>
              </w:rPr>
              <w:t>3.71</w:t>
            </w:r>
            <w:r>
              <w:rPr>
                <w:rFonts w:hint="eastAsia" w:ascii="仿宋_GB2312" w:eastAsia="仿宋_GB2312"/>
                <w:b/>
                <w:szCs w:val="21"/>
              </w:rPr>
              <w:t>*10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DA004</w:t>
            </w:r>
          </w:p>
          <w:p>
            <w:pPr>
              <w:spacing w:line="360" w:lineRule="exact"/>
              <w:jc w:val="center"/>
              <w:rPr>
                <w:rFonts w:hint="eastAsia" w:ascii="仿宋_GB2312" w:eastAsia="仿宋_GB2312"/>
                <w:b/>
                <w:szCs w:val="21"/>
              </w:rPr>
            </w:pPr>
            <w:r>
              <w:rPr>
                <w:rFonts w:hint="eastAsia" w:ascii="仿宋_GB2312" w:eastAsia="仿宋_GB2312"/>
                <w:b/>
                <w:szCs w:val="21"/>
              </w:rPr>
              <w:t>（有机硅车间南侧</w:t>
            </w:r>
          </w:p>
          <w:p>
            <w:pPr>
              <w:spacing w:line="360" w:lineRule="exact"/>
              <w:jc w:val="center"/>
              <w:rPr>
                <w:rFonts w:ascii="仿宋_GB2312" w:eastAsia="仿宋_GB2312"/>
                <w:b/>
                <w:szCs w:val="21"/>
              </w:rPr>
            </w:pPr>
            <w:r>
              <w:rPr>
                <w:rFonts w:hint="eastAsia" w:ascii="仿宋_GB2312" w:eastAsia="仿宋_GB2312"/>
                <w:b/>
                <w:szCs w:val="21"/>
              </w:rPr>
              <w:t>）</w:t>
            </w:r>
          </w:p>
        </w:tc>
        <w:tc>
          <w:tcPr>
            <w:tcW w:w="1276" w:type="dxa"/>
            <w:vMerge w:val="restart"/>
            <w:vAlign w:val="center"/>
          </w:tcPr>
          <w:p>
            <w:pPr>
              <w:spacing w:line="360" w:lineRule="exact"/>
              <w:ind w:left="108"/>
              <w:jc w:val="center"/>
              <w:rPr>
                <w:rFonts w:ascii="仿宋_GB2312" w:eastAsia="仿宋_GB2312"/>
                <w:b/>
                <w:szCs w:val="21"/>
              </w:rPr>
            </w:pPr>
            <w:r>
              <w:rPr>
                <w:rFonts w:ascii="仿宋_GB2312" w:eastAsia="仿宋_GB2312"/>
                <w:b/>
                <w:szCs w:val="21"/>
              </w:rPr>
              <w:t>水吸收</w:t>
            </w:r>
            <w:r>
              <w:rPr>
                <w:rFonts w:hint="eastAsia" w:ascii="仿宋_GB2312" w:eastAsia="仿宋_GB2312"/>
                <w:b/>
                <w:szCs w:val="21"/>
              </w:rPr>
              <w:t>+</w:t>
            </w:r>
            <w:r>
              <w:rPr>
                <w:rFonts w:ascii="仿宋_GB2312" w:eastAsia="仿宋_GB2312"/>
                <w:b/>
                <w:szCs w:val="21"/>
              </w:rPr>
              <w:t>光氧催化</w:t>
            </w:r>
            <w:r>
              <w:rPr>
                <w:rFonts w:hint="eastAsia" w:ascii="仿宋_GB2312" w:eastAsia="仿宋_GB2312"/>
                <w:b/>
                <w:szCs w:val="21"/>
              </w:rPr>
              <w:t>+</w:t>
            </w:r>
            <w:r>
              <w:rPr>
                <w:rFonts w:ascii="仿宋_GB2312" w:eastAsia="仿宋_GB2312"/>
                <w:b/>
                <w:szCs w:val="21"/>
              </w:rPr>
              <w:t>酸喷淋</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ascii="仿宋_GB2312" w:eastAsia="仿宋_GB2312"/>
                <w:b/>
                <w:szCs w:val="21"/>
              </w:rPr>
              <w:t>甲醇</w:t>
            </w:r>
          </w:p>
        </w:tc>
        <w:tc>
          <w:tcPr>
            <w:tcW w:w="1262" w:type="dxa"/>
            <w:vAlign w:val="center"/>
          </w:tcPr>
          <w:p>
            <w:pPr>
              <w:spacing w:line="360" w:lineRule="exact"/>
              <w:jc w:val="center"/>
              <w:rPr>
                <w:rFonts w:ascii="仿宋_GB2312" w:eastAsia="仿宋_GB2312"/>
                <w:b/>
                <w:szCs w:val="21"/>
              </w:rPr>
            </w:pPr>
            <w:r>
              <w:rPr>
                <w:rFonts w:hint="eastAsia"/>
                <w:b/>
                <w:sz w:val="24"/>
              </w:rPr>
              <w:t>60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9.5</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ND</w:t>
            </w:r>
          </w:p>
        </w:tc>
        <w:tc>
          <w:tcPr>
            <w:tcW w:w="2061"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jc w:val="center"/>
              <w:rPr>
                <w:rFonts w:ascii="仿宋_GB2312" w:eastAsia="仿宋_GB2312"/>
                <w:b/>
                <w:szCs w:val="21"/>
              </w:rPr>
            </w:pPr>
            <w:r>
              <w:rPr>
                <w:rFonts w:hint="eastAsia"/>
                <w:b/>
                <w:sz w:val="24"/>
              </w:rPr>
              <w:t>80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hint="default" w:ascii="仿宋_GB2312" w:eastAsia="仿宋_GB2312"/>
                <w:b/>
                <w:szCs w:val="21"/>
                <w:lang w:val="en-US"/>
              </w:rPr>
            </w:pPr>
            <w:r>
              <w:rPr>
                <w:rFonts w:hint="eastAsia" w:ascii="仿宋_GB2312" w:eastAsia="仿宋_GB2312"/>
                <w:b/>
                <w:szCs w:val="21"/>
                <w:lang w:val="en-US" w:eastAsia="zh-CN"/>
              </w:rPr>
              <w:t>21.9</w:t>
            </w:r>
          </w:p>
        </w:tc>
        <w:tc>
          <w:tcPr>
            <w:tcW w:w="2061"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lang w:val="en-US" w:eastAsia="zh-CN"/>
              </w:rPr>
              <w:t>2.24</w:t>
            </w:r>
            <w:r>
              <w:rPr>
                <w:rFonts w:hint="eastAsia" w:ascii="仿宋_GB2312" w:eastAsia="仿宋_GB2312"/>
                <w:b/>
                <w:szCs w:val="21"/>
              </w:rPr>
              <w:t>*10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废物名称</w:t>
            </w:r>
          </w:p>
        </w:tc>
        <w:tc>
          <w:tcPr>
            <w:tcW w:w="2750" w:type="dxa"/>
            <w:gridSpan w:val="2"/>
            <w:vAlign w:val="center"/>
          </w:tcPr>
          <w:p>
            <w:pPr>
              <w:spacing w:line="500" w:lineRule="exact"/>
              <w:ind w:left="-105" w:leftChars="-50" w:right="-105" w:rightChars="-50"/>
              <w:jc w:val="center"/>
              <w:rPr>
                <w:rFonts w:ascii="仿宋_GB2312" w:eastAsia="仿宋_GB2312"/>
                <w:b/>
                <w:szCs w:val="21"/>
              </w:rPr>
            </w:pPr>
            <w:r>
              <w:rPr>
                <w:rFonts w:ascii="仿宋_GB2312" w:eastAsia="仿宋_GB2312"/>
                <w:b/>
                <w:szCs w:val="21"/>
              </w:rPr>
              <w:t>是否危险废物</w:t>
            </w:r>
          </w:p>
        </w:tc>
        <w:tc>
          <w:tcPr>
            <w:tcW w:w="3672" w:type="dxa"/>
            <w:gridSpan w:val="4"/>
            <w:vAlign w:val="center"/>
          </w:tcPr>
          <w:p>
            <w:pPr>
              <w:spacing w:line="360" w:lineRule="exact"/>
              <w:ind w:left="108"/>
              <w:jc w:val="center"/>
              <w:rPr>
                <w:rFonts w:ascii="仿宋_GB2312" w:eastAsia="仿宋_GB2312"/>
                <w:b/>
                <w:szCs w:val="21"/>
              </w:rPr>
            </w:pPr>
            <w:r>
              <w:rPr>
                <w:rFonts w:hint="eastAsia" w:ascii="仿宋_GB2312" w:eastAsia="仿宋_GB2312"/>
                <w:b/>
                <w:szCs w:val="21"/>
              </w:rPr>
              <w:t>废物代码</w:t>
            </w:r>
          </w:p>
        </w:tc>
        <w:tc>
          <w:tcPr>
            <w:tcW w:w="2552" w:type="dxa"/>
            <w:gridSpan w:val="3"/>
            <w:vAlign w:val="center"/>
          </w:tcPr>
          <w:p>
            <w:pPr>
              <w:spacing w:line="360" w:lineRule="exact"/>
              <w:ind w:left="108"/>
              <w:jc w:val="center"/>
              <w:rPr>
                <w:rFonts w:ascii="仿宋_GB2312" w:eastAsia="仿宋_GB2312"/>
                <w:b/>
                <w:szCs w:val="21"/>
              </w:rPr>
            </w:pPr>
            <w:r>
              <w:rPr>
                <w:rFonts w:ascii="仿宋_GB2312" w:eastAsia="仿宋_GB2312"/>
                <w:b/>
                <w:szCs w:val="21"/>
              </w:rPr>
              <w:t>处理处置方式</w:t>
            </w:r>
          </w:p>
        </w:tc>
        <w:tc>
          <w:tcPr>
            <w:tcW w:w="2650" w:type="dxa"/>
            <w:gridSpan w:val="2"/>
            <w:vAlign w:val="center"/>
          </w:tcPr>
          <w:p>
            <w:pPr>
              <w:jc w:val="center"/>
              <w:rPr>
                <w:rFonts w:ascii="仿宋_GB2312" w:eastAsia="仿宋_GB2312"/>
                <w:b/>
                <w:szCs w:val="21"/>
              </w:rPr>
            </w:pPr>
            <w:r>
              <w:rPr>
                <w:rFonts w:ascii="仿宋_GB2312" w:eastAsia="仿宋_GB2312"/>
                <w:b/>
                <w:szCs w:val="21"/>
              </w:rPr>
              <w:t>处理处置数量</w:t>
            </w:r>
            <w:r>
              <w:rPr>
                <w:rFonts w:hint="eastAsia" w:ascii="仿宋_GB2312" w:eastAsia="仿宋_GB2312"/>
                <w:b/>
                <w:szCs w:val="21"/>
              </w:rPr>
              <w:t>（吨</w:t>
            </w:r>
            <w:r>
              <w:rPr>
                <w:rFonts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有机硅精馏残液</w:t>
            </w:r>
          </w:p>
        </w:tc>
        <w:tc>
          <w:tcPr>
            <w:tcW w:w="2750" w:type="dxa"/>
            <w:gridSpan w:val="2"/>
            <w:vAlign w:val="center"/>
          </w:tcPr>
          <w:p>
            <w:pPr>
              <w:spacing w:line="500" w:lineRule="exact"/>
              <w:ind w:left="-105" w:leftChars="-50" w:right="-105" w:rightChars="-50"/>
              <w:jc w:val="center"/>
              <w:rPr>
                <w:rFonts w:ascii="仿宋_GB2312" w:eastAsia="仿宋_GB2312"/>
                <w:b/>
                <w:szCs w:val="21"/>
              </w:rP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900-013-11</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217.201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沾染毒性危险废物的废分子筛、滤芯、抹布等</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900-041-49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75.303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沾染毒性危险废物的废包装</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900-041-49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清洗</w:t>
            </w:r>
          </w:p>
        </w:tc>
        <w:tc>
          <w:tcPr>
            <w:tcW w:w="2650" w:type="dxa"/>
            <w:gridSpan w:val="2"/>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废活性炭</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900-039-49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废溶剂</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900-404-06</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260.19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hint="eastAsia" w:ascii="仿宋_GB2312" w:eastAsia="仿宋_GB2312"/>
                <w:b/>
                <w:szCs w:val="21"/>
                <w:lang w:val="en-US" w:eastAsia="zh-CN"/>
              </w:rPr>
            </w:pPr>
            <w:r>
              <w:rPr>
                <w:rFonts w:hint="eastAsia" w:ascii="仿宋_GB2312" w:eastAsia="仿宋_GB2312"/>
                <w:b/>
                <w:szCs w:val="21"/>
                <w:lang w:val="en-US" w:eastAsia="zh-CN"/>
              </w:rPr>
              <w:t>污泥</w:t>
            </w:r>
          </w:p>
        </w:tc>
        <w:tc>
          <w:tcPr>
            <w:tcW w:w="2750" w:type="dxa"/>
            <w:gridSpan w:val="2"/>
          </w:tcPr>
          <w:p>
            <w:pPr>
              <w:jc w:val="center"/>
              <w:rPr>
                <w:rFonts w:hint="eastAsia" w:ascii="仿宋_GB2312" w:eastAsia="仿宋_GB2312"/>
                <w:b/>
                <w:szCs w:val="21"/>
                <w:lang w:val="en-US" w:eastAsia="zh-CN"/>
              </w:rPr>
            </w:pPr>
            <w:r>
              <w:rPr>
                <w:rFonts w:hint="eastAsia" w:ascii="仿宋_GB2312" w:eastAsia="仿宋_GB2312"/>
                <w:b/>
                <w:szCs w:val="21"/>
                <w:lang w:val="en-US" w:eastAsia="zh-CN"/>
              </w:rPr>
              <w:t>是</w:t>
            </w:r>
          </w:p>
        </w:tc>
        <w:tc>
          <w:tcPr>
            <w:tcW w:w="3672" w:type="dxa"/>
            <w:gridSpan w:val="4"/>
            <w:vAlign w:val="center"/>
          </w:tcPr>
          <w:p>
            <w:pPr>
              <w:spacing w:line="360" w:lineRule="exact"/>
              <w:ind w:left="108"/>
              <w:jc w:val="center"/>
              <w:rPr>
                <w:rFonts w:ascii="仿宋_GB2312" w:eastAsia="仿宋_GB2312"/>
                <w:b/>
                <w:szCs w:val="21"/>
              </w:rPr>
            </w:pPr>
            <w:r>
              <w:rPr>
                <w:rFonts w:hint="eastAsia" w:ascii="仿宋_GB2312" w:eastAsia="仿宋_GB2312"/>
                <w:b/>
                <w:szCs w:val="21"/>
              </w:rPr>
              <w:t>900-409-06</w:t>
            </w:r>
          </w:p>
        </w:tc>
        <w:tc>
          <w:tcPr>
            <w:tcW w:w="2552" w:type="dxa"/>
            <w:gridSpan w:val="3"/>
            <w:vAlign w:val="center"/>
          </w:tcPr>
          <w:p>
            <w:pPr>
              <w:spacing w:line="360" w:lineRule="exact"/>
              <w:ind w:left="108"/>
              <w:jc w:val="center"/>
              <w:rPr>
                <w:rFonts w:hint="eastAsia" w:ascii="仿宋_GB2312" w:eastAsia="仿宋_GB2312"/>
                <w:b/>
                <w:szCs w:val="21"/>
              </w:rPr>
            </w:pPr>
            <w:r>
              <w:rPr>
                <w:rFonts w:hint="eastAsia" w:ascii="仿宋_GB2312" w:eastAsia="仿宋_GB2312"/>
                <w:b/>
                <w:szCs w:val="21"/>
              </w:rPr>
              <w:t>焚烧</w:t>
            </w:r>
          </w:p>
        </w:tc>
        <w:tc>
          <w:tcPr>
            <w:tcW w:w="2650" w:type="dxa"/>
            <w:gridSpan w:val="2"/>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3.539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63" w:type="dxa"/>
            <w:vMerge w:val="restart"/>
            <w:vAlign w:val="center"/>
          </w:tcPr>
          <w:p>
            <w:pPr>
              <w:spacing w:line="360" w:lineRule="exact"/>
              <w:jc w:val="center"/>
              <w:rPr>
                <w:rFonts w:ascii="仿宋_GB2312" w:eastAsia="仿宋_GB2312"/>
                <w:b/>
                <w:szCs w:val="21"/>
              </w:rPr>
            </w:pPr>
            <w:r>
              <w:rPr>
                <w:rFonts w:ascii="仿宋_GB2312" w:eastAsia="仿宋_GB2312"/>
                <w:b/>
                <w:szCs w:val="21"/>
              </w:rPr>
              <w:t>厂界位置</w:t>
            </w:r>
          </w:p>
        </w:tc>
        <w:tc>
          <w:tcPr>
            <w:tcW w:w="2608"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噪声值（dB）</w:t>
            </w:r>
          </w:p>
        </w:tc>
        <w:tc>
          <w:tcPr>
            <w:tcW w:w="6366" w:type="dxa"/>
            <w:gridSpan w:val="6"/>
            <w:vAlign w:val="center"/>
          </w:tcPr>
          <w:p>
            <w:pPr>
              <w:spacing w:line="360" w:lineRule="exact"/>
              <w:ind w:left="108"/>
              <w:jc w:val="center"/>
              <w:rPr>
                <w:rFonts w:ascii="仿宋_GB2312" w:eastAsia="仿宋_GB2312"/>
                <w:b/>
                <w:szCs w:val="21"/>
              </w:rPr>
            </w:pPr>
            <w:r>
              <w:rPr>
                <w:rFonts w:ascii="仿宋_GB2312" w:eastAsia="仿宋_GB2312"/>
                <w:b/>
                <w:szCs w:val="21"/>
              </w:rPr>
              <w:t>执行的厂界噪声排放标准限值（dB）</w:t>
            </w:r>
          </w:p>
        </w:tc>
        <w:tc>
          <w:tcPr>
            <w:tcW w:w="3926" w:type="dxa"/>
            <w:gridSpan w:val="4"/>
            <w:vMerge w:val="restart"/>
            <w:vAlign w:val="center"/>
          </w:tcPr>
          <w:p>
            <w:pPr>
              <w:spacing w:line="500" w:lineRule="exact"/>
              <w:jc w:val="center"/>
              <w:rPr>
                <w:rFonts w:ascii="仿宋_GB2312" w:eastAsia="仿宋_GB2312"/>
                <w:b/>
                <w:szCs w:val="21"/>
              </w:rPr>
            </w:pPr>
            <w:r>
              <w:rPr>
                <w:rFonts w:ascii="仿宋_GB2312" w:eastAsia="仿宋_GB2312"/>
                <w:b/>
                <w:szCs w:val="21"/>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ascii="仿宋_GB2312" w:eastAsia="仿宋_GB2312"/>
                <w:b/>
                <w:szCs w:val="21"/>
              </w:rPr>
              <w:t>昼间</w:t>
            </w:r>
          </w:p>
        </w:tc>
        <w:tc>
          <w:tcPr>
            <w:tcW w:w="1332" w:type="dxa"/>
            <w:vAlign w:val="center"/>
          </w:tcPr>
          <w:p>
            <w:pPr>
              <w:spacing w:line="360" w:lineRule="exact"/>
              <w:ind w:left="108"/>
              <w:jc w:val="center"/>
              <w:rPr>
                <w:rFonts w:ascii="仿宋_GB2312" w:eastAsia="仿宋_GB2312"/>
                <w:b/>
                <w:szCs w:val="21"/>
              </w:rPr>
            </w:pPr>
            <w:r>
              <w:rPr>
                <w:rFonts w:ascii="仿宋_GB2312" w:eastAsia="仿宋_GB2312"/>
                <w:b/>
                <w:szCs w:val="21"/>
              </w:rPr>
              <w:t>夜间</w:t>
            </w:r>
          </w:p>
        </w:tc>
        <w:tc>
          <w:tcPr>
            <w:tcW w:w="3814" w:type="dxa"/>
            <w:gridSpan w:val="4"/>
            <w:vAlign w:val="center"/>
          </w:tcPr>
          <w:p>
            <w:pPr>
              <w:spacing w:line="500" w:lineRule="exact"/>
              <w:jc w:val="center"/>
              <w:rPr>
                <w:rFonts w:ascii="仿宋_GB2312" w:eastAsia="仿宋_GB2312"/>
                <w:b/>
                <w:szCs w:val="21"/>
              </w:rPr>
            </w:pPr>
            <w:r>
              <w:rPr>
                <w:rFonts w:ascii="仿宋_GB2312" w:eastAsia="仿宋_GB2312"/>
                <w:b/>
                <w:szCs w:val="21"/>
              </w:rPr>
              <w:t>昼间</w:t>
            </w:r>
          </w:p>
        </w:tc>
        <w:tc>
          <w:tcPr>
            <w:tcW w:w="2552" w:type="dxa"/>
            <w:gridSpan w:val="2"/>
            <w:vAlign w:val="center"/>
          </w:tcPr>
          <w:p>
            <w:pPr>
              <w:spacing w:line="500" w:lineRule="exact"/>
              <w:jc w:val="center"/>
              <w:rPr>
                <w:rFonts w:ascii="仿宋_GB2312" w:eastAsia="仿宋_GB2312"/>
                <w:b/>
                <w:szCs w:val="21"/>
              </w:rPr>
            </w:pPr>
            <w:r>
              <w:rPr>
                <w:rFonts w:ascii="仿宋_GB2312" w:eastAsia="仿宋_GB2312"/>
                <w:b/>
                <w:szCs w:val="21"/>
              </w:rPr>
              <w:t>夜间</w:t>
            </w:r>
          </w:p>
        </w:tc>
        <w:tc>
          <w:tcPr>
            <w:tcW w:w="3926" w:type="dxa"/>
            <w:gridSpan w:val="4"/>
            <w:vMerge w:val="continue"/>
            <w:vAlign w:val="center"/>
          </w:tcPr>
          <w:p>
            <w:pPr>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厂界东侧</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54.4</w:t>
            </w:r>
          </w:p>
        </w:tc>
        <w:tc>
          <w:tcPr>
            <w:tcW w:w="1332"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49.9</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厂界北侧</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54</w:t>
            </w:r>
          </w:p>
        </w:tc>
        <w:tc>
          <w:tcPr>
            <w:tcW w:w="1332"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50.2</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厂界西侧</w:t>
            </w:r>
          </w:p>
        </w:tc>
        <w:tc>
          <w:tcPr>
            <w:tcW w:w="1276" w:type="dxa"/>
            <w:vAlign w:val="center"/>
          </w:tcPr>
          <w:p>
            <w:pPr>
              <w:spacing w:line="360" w:lineRule="exact"/>
              <w:ind w:left="108"/>
              <w:jc w:val="center"/>
              <w:rPr>
                <w:rFonts w:hint="eastAsia" w:ascii="仿宋_GB2312" w:eastAsia="仿宋_GB2312"/>
                <w:b/>
                <w:szCs w:val="21"/>
                <w:lang w:eastAsia="zh-CN"/>
              </w:rPr>
            </w:pPr>
            <w:r>
              <w:rPr>
                <w:rFonts w:hint="eastAsia" w:ascii="仿宋_GB2312" w:eastAsia="仿宋_GB2312"/>
                <w:b/>
                <w:szCs w:val="21"/>
              </w:rPr>
              <w:t>53.</w:t>
            </w:r>
            <w:r>
              <w:rPr>
                <w:rFonts w:hint="eastAsia" w:ascii="仿宋_GB2312" w:eastAsia="仿宋_GB2312"/>
                <w:b/>
                <w:szCs w:val="21"/>
                <w:lang w:val="en-US" w:eastAsia="zh-CN"/>
              </w:rPr>
              <w:t>4</w:t>
            </w:r>
          </w:p>
        </w:tc>
        <w:tc>
          <w:tcPr>
            <w:tcW w:w="1332" w:type="dxa"/>
            <w:vAlign w:val="center"/>
          </w:tcPr>
          <w:p>
            <w:pPr>
              <w:spacing w:line="360" w:lineRule="exact"/>
              <w:ind w:left="108"/>
              <w:jc w:val="center"/>
              <w:rPr>
                <w:rFonts w:hint="eastAsia" w:ascii="仿宋_GB2312" w:eastAsia="仿宋_GB2312"/>
                <w:b/>
                <w:szCs w:val="21"/>
                <w:lang w:eastAsia="zh-CN"/>
              </w:rPr>
            </w:pPr>
            <w:r>
              <w:rPr>
                <w:rFonts w:hint="eastAsia" w:ascii="仿宋_GB2312" w:eastAsia="仿宋_GB2312"/>
                <w:b/>
                <w:szCs w:val="21"/>
              </w:rPr>
              <w:t>49.</w:t>
            </w:r>
            <w:r>
              <w:rPr>
                <w:rFonts w:hint="eastAsia" w:ascii="仿宋_GB2312" w:eastAsia="仿宋_GB2312"/>
                <w:b/>
                <w:szCs w:val="21"/>
                <w:lang w:val="en-US" w:eastAsia="zh-CN"/>
              </w:rPr>
              <w:t>7</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厂界南侧</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5</w:t>
            </w:r>
            <w:r>
              <w:rPr>
                <w:rFonts w:hint="eastAsia" w:ascii="仿宋_GB2312" w:eastAsia="仿宋_GB2312"/>
                <w:b/>
                <w:szCs w:val="21"/>
                <w:lang w:val="en-US" w:eastAsia="zh-CN"/>
              </w:rPr>
              <w:t>3.1</w:t>
            </w:r>
          </w:p>
        </w:tc>
        <w:tc>
          <w:tcPr>
            <w:tcW w:w="1332"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4</w:t>
            </w:r>
            <w:r>
              <w:rPr>
                <w:rFonts w:hint="eastAsia" w:ascii="仿宋_GB2312" w:eastAsia="仿宋_GB2312"/>
                <w:b/>
                <w:szCs w:val="21"/>
                <w:lang w:val="en-US" w:eastAsia="zh-CN"/>
              </w:rPr>
              <w:t>9.8</w:t>
            </w:r>
            <w:bookmarkStart w:id="0" w:name="_GoBack"/>
            <w:bookmarkEnd w:id="0"/>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263" w:type="dxa"/>
            <w:gridSpan w:val="13"/>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63"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2608" w:type="dxa"/>
            <w:gridSpan w:val="2"/>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主要处理工艺</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芬顿氧化、混凝沉淀、水解酸化、活性炭过滤等方式处理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是否正常运行</w:t>
            </w:r>
          </w:p>
        </w:tc>
        <w:tc>
          <w:tcPr>
            <w:tcW w:w="10292" w:type="dxa"/>
            <w:gridSpan w:val="10"/>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63"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2608" w:type="dxa"/>
            <w:gridSpan w:val="2"/>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主要处理工艺</w:t>
            </w:r>
          </w:p>
        </w:tc>
        <w:tc>
          <w:tcPr>
            <w:tcW w:w="10292" w:type="dxa"/>
            <w:gridSpan w:val="10"/>
            <w:vAlign w:val="center"/>
          </w:tcPr>
          <w:p>
            <w:pPr>
              <w:jc w:val="center"/>
              <w:rPr>
                <w:rFonts w:ascii="仿宋_GB2312" w:eastAsia="仿宋_GB2312"/>
              </w:rPr>
            </w:pPr>
            <w:r>
              <w:rPr>
                <w:rFonts w:hint="eastAsia" w:ascii="仿宋_GB2312" w:eastAsia="仿宋_GB2312"/>
              </w:rPr>
              <w:t>碱吸收+光氧催化+活性炭、三级水吸收+二级磷酸吸收、催化燃烧、</w:t>
            </w:r>
            <w:r>
              <w:rPr>
                <w:rFonts w:ascii="仿宋_GB2312" w:eastAsia="仿宋_GB2312"/>
              </w:rPr>
              <w:t>水吸收</w:t>
            </w:r>
            <w:r>
              <w:rPr>
                <w:rFonts w:hint="eastAsia" w:ascii="仿宋_GB2312" w:eastAsia="仿宋_GB2312"/>
              </w:rPr>
              <w:t>+</w:t>
            </w:r>
            <w:r>
              <w:rPr>
                <w:rFonts w:ascii="仿宋_GB2312" w:eastAsia="仿宋_GB2312"/>
              </w:rPr>
              <w:t>光氧催化</w:t>
            </w:r>
            <w:r>
              <w:rPr>
                <w:rFonts w:hint="eastAsia" w:ascii="仿宋_GB2312" w:eastAsia="仿宋_GB2312"/>
              </w:rPr>
              <w:t>+</w:t>
            </w:r>
            <w:r>
              <w:rPr>
                <w:rFonts w:ascii="仿宋_GB2312" w:eastAsia="仿宋_GB2312"/>
              </w:rPr>
              <w:t>酸喷淋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是否正常运行</w:t>
            </w:r>
          </w:p>
        </w:tc>
        <w:tc>
          <w:tcPr>
            <w:tcW w:w="10292" w:type="dxa"/>
            <w:gridSpan w:val="10"/>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建设项目是否经过环评审批</w:t>
            </w:r>
          </w:p>
        </w:tc>
        <w:tc>
          <w:tcPr>
            <w:tcW w:w="10292" w:type="dxa"/>
            <w:gridSpan w:val="10"/>
            <w:vAlign w:val="center"/>
          </w:tcPr>
          <w:p>
            <w:pPr>
              <w:jc w:val="left"/>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建设项目是否经过环保验收</w:t>
            </w:r>
          </w:p>
        </w:tc>
        <w:tc>
          <w:tcPr>
            <w:tcW w:w="10292" w:type="dxa"/>
            <w:gridSpan w:val="10"/>
            <w:vAlign w:val="center"/>
          </w:tcPr>
          <w:p>
            <w:pPr>
              <w:jc w:val="left"/>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其他环境保护行政许可情况</w:t>
            </w:r>
          </w:p>
        </w:tc>
        <w:tc>
          <w:tcPr>
            <w:tcW w:w="10292" w:type="dxa"/>
            <w:gridSpan w:val="10"/>
            <w:vAlign w:val="center"/>
          </w:tcPr>
          <w:p>
            <w:pPr>
              <w:jc w:val="left"/>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263" w:type="dxa"/>
            <w:gridSpan w:val="13"/>
            <w:vAlign w:val="center"/>
          </w:tcPr>
          <w:p>
            <w:pPr>
              <w:rPr>
                <w:rFonts w:ascii="仿宋_GB2312" w:eastAsia="仿宋_GB2312"/>
                <w:sz w:val="28"/>
                <w:szCs w:val="28"/>
              </w:rPr>
            </w:pPr>
            <w:r>
              <w:rPr>
                <w:rFonts w:hint="eastAsia" w:ascii="黑体" w:eastAsia="黑体"/>
                <w:b/>
                <w:sz w:val="28"/>
                <w:szCs w:val="28"/>
              </w:rPr>
              <w:t>五、突发环境事件应急预案：</w:t>
            </w:r>
            <w:r>
              <w:rPr>
                <w:rFonts w:ascii="黑体" w:eastAsia="黑体"/>
                <w:sz w:val="28"/>
                <w:szCs w:val="28"/>
              </w:rPr>
              <w:t xml:space="preserve"> </w:t>
            </w:r>
          </w:p>
          <w:p>
            <w:pPr>
              <w:rPr>
                <w:rFonts w:ascii="仿宋_GB2312" w:eastAsia="仿宋_GB2312"/>
                <w:b/>
                <w:sz w:val="28"/>
                <w:szCs w:val="28"/>
              </w:rPr>
            </w:pPr>
            <w:r>
              <w:rPr>
                <w:rFonts w:hint="eastAsia" w:ascii="仿宋_GB2312" w:eastAsia="仿宋_GB2312"/>
                <w:b/>
                <w:sz w:val="28"/>
                <w:szCs w:val="28"/>
              </w:rPr>
              <w:t>备案号：</w:t>
            </w:r>
            <w:r>
              <w:rPr>
                <w:rFonts w:ascii="仿宋_GB2312" w:eastAsia="仿宋_GB2312"/>
                <w:b/>
                <w:sz w:val="28"/>
                <w:szCs w:val="28"/>
              </w:rPr>
              <w:t>320582-2018-014-H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63" w:type="dxa"/>
            <w:gridSpan w:val="13"/>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UwZDBjMzk1NzEyMmRjNWM4YTdiMGRjZTYyMWM0ZmMifQ=="/>
  </w:docVars>
  <w:rsids>
    <w:rsidRoot w:val="00CA6154"/>
    <w:rsid w:val="00006320"/>
    <w:rsid w:val="00006F98"/>
    <w:rsid w:val="00010284"/>
    <w:rsid w:val="00016551"/>
    <w:rsid w:val="000200AC"/>
    <w:rsid w:val="00045E97"/>
    <w:rsid w:val="00064031"/>
    <w:rsid w:val="000671DA"/>
    <w:rsid w:val="000A4E26"/>
    <w:rsid w:val="000B7484"/>
    <w:rsid w:val="000C612D"/>
    <w:rsid w:val="00104815"/>
    <w:rsid w:val="00106B7C"/>
    <w:rsid w:val="001416DB"/>
    <w:rsid w:val="0015446F"/>
    <w:rsid w:val="00166298"/>
    <w:rsid w:val="00172CE5"/>
    <w:rsid w:val="001A60D0"/>
    <w:rsid w:val="001B0147"/>
    <w:rsid w:val="001B4A7E"/>
    <w:rsid w:val="001C2FCB"/>
    <w:rsid w:val="001D3E1B"/>
    <w:rsid w:val="001D4C0A"/>
    <w:rsid w:val="001D59A8"/>
    <w:rsid w:val="001F0C48"/>
    <w:rsid w:val="002039B6"/>
    <w:rsid w:val="002159A2"/>
    <w:rsid w:val="002327B9"/>
    <w:rsid w:val="002464AF"/>
    <w:rsid w:val="00257F0E"/>
    <w:rsid w:val="002624ED"/>
    <w:rsid w:val="0026622F"/>
    <w:rsid w:val="0027422E"/>
    <w:rsid w:val="002753E9"/>
    <w:rsid w:val="00292C43"/>
    <w:rsid w:val="002B0C93"/>
    <w:rsid w:val="002B7122"/>
    <w:rsid w:val="002E0B9D"/>
    <w:rsid w:val="002F342E"/>
    <w:rsid w:val="00313C4B"/>
    <w:rsid w:val="003562FC"/>
    <w:rsid w:val="00360AA8"/>
    <w:rsid w:val="00395173"/>
    <w:rsid w:val="00395BB1"/>
    <w:rsid w:val="003B3273"/>
    <w:rsid w:val="003E3B5C"/>
    <w:rsid w:val="00406E3D"/>
    <w:rsid w:val="004371F4"/>
    <w:rsid w:val="00464055"/>
    <w:rsid w:val="00492400"/>
    <w:rsid w:val="00492AE0"/>
    <w:rsid w:val="00495E68"/>
    <w:rsid w:val="004A25E0"/>
    <w:rsid w:val="004B711A"/>
    <w:rsid w:val="004C0F49"/>
    <w:rsid w:val="004C697B"/>
    <w:rsid w:val="004F4B88"/>
    <w:rsid w:val="004F6BEC"/>
    <w:rsid w:val="00530D12"/>
    <w:rsid w:val="0053494F"/>
    <w:rsid w:val="00542AA0"/>
    <w:rsid w:val="00555443"/>
    <w:rsid w:val="00564C17"/>
    <w:rsid w:val="005820BF"/>
    <w:rsid w:val="005835F3"/>
    <w:rsid w:val="005A20B4"/>
    <w:rsid w:val="005A3D5C"/>
    <w:rsid w:val="005E2AB1"/>
    <w:rsid w:val="005E4F12"/>
    <w:rsid w:val="005F1CA7"/>
    <w:rsid w:val="005F462B"/>
    <w:rsid w:val="00620585"/>
    <w:rsid w:val="00660AE7"/>
    <w:rsid w:val="006C40D4"/>
    <w:rsid w:val="006E70FE"/>
    <w:rsid w:val="00710774"/>
    <w:rsid w:val="00710D92"/>
    <w:rsid w:val="00714E1A"/>
    <w:rsid w:val="00721445"/>
    <w:rsid w:val="00722600"/>
    <w:rsid w:val="0074222B"/>
    <w:rsid w:val="00773A1F"/>
    <w:rsid w:val="007C0D91"/>
    <w:rsid w:val="007D64BC"/>
    <w:rsid w:val="007E6FDC"/>
    <w:rsid w:val="00802B8B"/>
    <w:rsid w:val="00802E3E"/>
    <w:rsid w:val="00803665"/>
    <w:rsid w:val="00826B59"/>
    <w:rsid w:val="0083117F"/>
    <w:rsid w:val="008316B2"/>
    <w:rsid w:val="00840B4A"/>
    <w:rsid w:val="0087384E"/>
    <w:rsid w:val="00877A3C"/>
    <w:rsid w:val="0088016C"/>
    <w:rsid w:val="008C4680"/>
    <w:rsid w:val="008D54EC"/>
    <w:rsid w:val="008D69CD"/>
    <w:rsid w:val="008E2117"/>
    <w:rsid w:val="008E6E09"/>
    <w:rsid w:val="009104AD"/>
    <w:rsid w:val="0091091A"/>
    <w:rsid w:val="00921ABB"/>
    <w:rsid w:val="00932A5B"/>
    <w:rsid w:val="0093398E"/>
    <w:rsid w:val="00943681"/>
    <w:rsid w:val="00944803"/>
    <w:rsid w:val="0096084E"/>
    <w:rsid w:val="00965BAF"/>
    <w:rsid w:val="0097381B"/>
    <w:rsid w:val="0097513B"/>
    <w:rsid w:val="00976262"/>
    <w:rsid w:val="0098415C"/>
    <w:rsid w:val="009951D0"/>
    <w:rsid w:val="009A4628"/>
    <w:rsid w:val="009E1696"/>
    <w:rsid w:val="00A210E6"/>
    <w:rsid w:val="00A35791"/>
    <w:rsid w:val="00A458EE"/>
    <w:rsid w:val="00A53795"/>
    <w:rsid w:val="00A7694A"/>
    <w:rsid w:val="00AF009C"/>
    <w:rsid w:val="00AF0E99"/>
    <w:rsid w:val="00AF3579"/>
    <w:rsid w:val="00B02D59"/>
    <w:rsid w:val="00B12935"/>
    <w:rsid w:val="00B75365"/>
    <w:rsid w:val="00BA6920"/>
    <w:rsid w:val="00BC6945"/>
    <w:rsid w:val="00BE4B7E"/>
    <w:rsid w:val="00C0270B"/>
    <w:rsid w:val="00C4434E"/>
    <w:rsid w:val="00C66142"/>
    <w:rsid w:val="00C7119F"/>
    <w:rsid w:val="00C76687"/>
    <w:rsid w:val="00CA38BF"/>
    <w:rsid w:val="00CA6154"/>
    <w:rsid w:val="00CD27BD"/>
    <w:rsid w:val="00CD54D6"/>
    <w:rsid w:val="00CF0A61"/>
    <w:rsid w:val="00D17FF9"/>
    <w:rsid w:val="00D2227F"/>
    <w:rsid w:val="00D2671B"/>
    <w:rsid w:val="00D46EA6"/>
    <w:rsid w:val="00D5449B"/>
    <w:rsid w:val="00D63192"/>
    <w:rsid w:val="00D70D99"/>
    <w:rsid w:val="00DC1FED"/>
    <w:rsid w:val="00E1356F"/>
    <w:rsid w:val="00E14984"/>
    <w:rsid w:val="00E2676A"/>
    <w:rsid w:val="00E30E99"/>
    <w:rsid w:val="00E446C1"/>
    <w:rsid w:val="00E5449E"/>
    <w:rsid w:val="00E74FC3"/>
    <w:rsid w:val="00EA2EFC"/>
    <w:rsid w:val="00EA5764"/>
    <w:rsid w:val="00EB7D06"/>
    <w:rsid w:val="00EE1C42"/>
    <w:rsid w:val="00EE4924"/>
    <w:rsid w:val="00EF0EE5"/>
    <w:rsid w:val="00F037AA"/>
    <w:rsid w:val="00F10AE4"/>
    <w:rsid w:val="00F34296"/>
    <w:rsid w:val="00F37986"/>
    <w:rsid w:val="00F43F1B"/>
    <w:rsid w:val="00F44DF8"/>
    <w:rsid w:val="00F533B3"/>
    <w:rsid w:val="00F67BE1"/>
    <w:rsid w:val="00FB1C40"/>
    <w:rsid w:val="6E9C4796"/>
    <w:rsid w:val="7FD36A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unhideWhenUsed/>
    <w:qFormat/>
    <w:uiPriority w:val="99"/>
    <w:rPr>
      <w:color w:val="0000FF"/>
      <w:u w:val="single"/>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1207</Words>
  <Characters>1583</Characters>
  <Lines>14</Lines>
  <Paragraphs>3</Paragraphs>
  <TotalTime>5</TotalTime>
  <ScaleCrop>false</ScaleCrop>
  <LinksUpToDate>false</LinksUpToDate>
  <CharactersWithSpaces>1615</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2018-09-26T05:46:00Z</dcterms:created>
  <dc:creator>沈艺</dc:creator>
  <cp:lastModifiedBy>罂粟</cp:lastModifiedBy>
  <cp:lastPrinted>2018-10-09T08:01:00Z</cp:lastPrinted>
  <dcterms:modified xsi:type="dcterms:W3CDTF">2022-09-05T12:33:26Z</dcterms:modified>
  <dc:title>苏州市重点排污单位环境信息公开表</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49949F9604E6473AAFA89EB98C2000EE</vt:lpwstr>
  </property>
</Properties>
</file>